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神经外科手术技术图谱  第2版  下</w:t>
      </w:r>
    </w:p>
    <w:p>
      <w:r>
        <w:rPr>
          <w:rFonts w:ascii="宋体" w:hAnsi="宋体" w:eastAsia="宋体"/>
          <w:sz w:val="24"/>
        </w:rPr>
        <w:t>（美）拉里根·N.谢卡尔（Laligam N. Sekhar），（美）理查德·G.费斯勒（Richard G. Fessler）主编；王硕主译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神经外科手术技术图谱  第2版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（美）拉里根·N.谢卡尔（Laligam N. Sekhar），（美）理查德·G.费斯勒（Richard G. Fessler）主编；王硕主译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本书出售、求购地址：https://www.jiaokey.com/book/detail/14726145.html</w:t>
      </w:r>
    </w:p>
    <w:p>
      <w:r>
        <w:t>更多相关图书推荐：https://www.jiaokey.com</w:t>
      </w:r>
    </w:p>
    <w:p>
      <w:r>
        <w:t>（美）拉里根·N.谢卡尔（Laligam N. Sekhar），（美）理查德·G.费斯勒（Richard G. Fessler）主编；王硕主译 其他作品：https://www.jiaokey.com/tag/（美）拉里根·N.谢卡尔（Laligam N. Sekhar），（美）理查德·G.费斯勒（Richard G. Fessler）主编；王硕主译.html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关键词搜索：https://www.jiaokey.com/tag/神经外科手术技术图谱  第2版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