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打动孩子心灵的经典故事  世界神话故事</w:t>
      </w:r>
    </w:p>
    <w:p>
      <w:r>
        <w:rPr>
          <w:rFonts w:ascii="宋体" w:hAnsi="宋体" w:eastAsia="宋体"/>
          <w:sz w:val="24"/>
        </w:rPr>
        <w:t>国风编者；李世梅责编贾晓曦绘画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打动孩子心灵的经典故事  世界神话故事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国风编者；李世梅责编贾晓曦绘画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中国少年儿童新闻出版总社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本书出售、求购地址：https://www.jiaokey.com/book/detail/14728396.html</w:t>
      </w:r>
    </w:p>
    <w:p>
      <w:r>
        <w:t>更多相关图书推荐：https://www.jiaokey.com</w:t>
      </w:r>
    </w:p>
    <w:p>
      <w:r>
        <w:t>国风编者；李世梅责编贾晓曦绘画 其他作品：https://www.jiaokey.com/tag/国风编者；李世梅责编贾晓曦绘画.html</w:t>
      </w:r>
    </w:p>
    <w:p>
      <w:r>
        <w:t>中国少年儿童新闻出版总社 出版图书：https://www.jiaokey.com/tag/中国少年儿童新闻出版总社.html</w:t>
      </w:r>
    </w:p>
    <w:p>
      <w:r>
        <w:t>关键词搜索：https://www.jiaokey.com/tag/打动孩子心灵的经典故事  世界神话故事.html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