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竹不如肉  西方古代艺术史上的权力和身体</w:t>
      </w:r>
    </w:p>
    <w:p>
      <w:r>
        <w:rPr>
          <w:rFonts w:ascii="宋体" w:hAnsi="宋体" w:eastAsia="宋体"/>
          <w:sz w:val="24"/>
        </w:rPr>
        <w:t>张宇凌著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竹不如肉  西方古代艺术史上的权力和身体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本书出售、求购地址：https://www.jiaokey.com/book/detail/14729783.html</w:t>
      </w:r>
    </w:p>
    <w:p>
      <w:r>
        <w:t>更多相关图书推荐：https://www.jiaokey.com</w:t>
      </w:r>
    </w:p>
    <w:p>
      <w:r>
        <w:t>张宇凌著 其他作品：https://www.jiaokey.com/tag/张宇凌著.html</w:t>
      </w:r>
    </w:p>
    <w:p>
      <w:r>
        <w:t>关键词搜索：https://www.jiaokey.com/tag/竹不如肉  西方古代艺术史上的权力和身体.html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