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发光材料</w:t>
      </w:r>
    </w:p>
    <w:p>
      <w:r>
        <w:rPr>
          <w:rFonts w:ascii="宋体" w:hAnsi="宋体" w:eastAsia="宋体"/>
          <w:sz w:val="24"/>
        </w:rPr>
        <w:t>陈昊鸿，李江译者；（荷）乔治·布拉塞，（德）芭芭拉·克丽斯塔·格雷伯梅耶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陈昊鸿，李江译者；（荷）乔治·布拉塞，（德）芭芭拉·克丽斯塔·格雷伯梅耶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本书出售、求购地址：https://www.jiaokey.com/book/detail/14731002.html</w:t>
      </w:r>
    </w:p>
    <w:p>
      <w:r>
        <w:t>更多相关图书推荐：https://www.jiaokey.com</w:t>
      </w:r>
    </w:p>
    <w:p>
      <w:r>
        <w:t>陈昊鸿，李江译者；（荷）乔治·布拉塞，（德）芭芭拉·克丽斯塔·格雷伯梅耶 其他作品：https://www.jiaokey.com/tag/陈昊鸿，李江译者；（荷）乔治·布拉塞，（德）芭芭拉·克丽斯塔·格雷伯梅耶.html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