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变革性创新  大企业如何突破规模困境获得创新优势＝CREATIVE  CONSTRUCTION  THE  DNA  OF  SUSTAINED  INNOVATION</w:t>
      </w:r>
    </w:p>
    <w:p>
      <w:r>
        <w:rPr>
          <w:rFonts w:ascii="宋体" w:hAnsi="宋体" w:eastAsia="宋体"/>
          <w:sz w:val="24"/>
        </w:rPr>
        <w:t>（美）加里·皮萨诺著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变革性创新  大企业如何突破规模困境获得创新优势＝CREATIVE  CONSTRUCTION  THE  DNA  OF  SUSTAINED 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（美）加里·皮萨诺著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本书出售、求购地址：https://www.jiaokey.com/book/detail/14747320.html</w:t>
      </w:r>
    </w:p>
    <w:p>
      <w:r>
        <w:t>更多相关图书推荐：https://www.jiaokey.com</w:t>
      </w:r>
    </w:p>
    <w:p>
      <w:r>
        <w:t>（美）加里·皮萨诺著 其他作品：https://www.jiaokey.com/tag/（美）加里·皮萨诺著.html</w:t>
      </w:r>
    </w:p>
    <w:p>
      <w:r>
        <w:t>关键词搜索：https://www.jiaokey.com/tag/变革性创新  大企业如何突破规模困境获得创新优势＝CREATIVE  CONSTRUCTION  THE  DNA  OF  SUSTAINED 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