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量刑规则的体系性建构</w:t>
      </w:r>
    </w:p>
    <w:p>
      <w:r>
        <w:rPr>
          <w:rFonts w:ascii="宋体" w:hAnsi="宋体" w:eastAsia="宋体"/>
          <w:sz w:val="24"/>
        </w:rPr>
        <w:t>荣月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量刑规则的体系性建构</w:t>
            </w:r>
          </w:p>
        </w:tc>
      </w:tr>
      <w:tr>
        <w:tc>
          <w:tcPr>
            <w:tcW w:type="dxa" w:w="4320"/>
          </w:tcPr>
          <w:p>
            <w:r>
              <w:t>作者</w:t>
            </w:r>
          </w:p>
        </w:tc>
        <w:tc>
          <w:tcPr>
            <w:tcW w:type="dxa" w:w="4320"/>
          </w:tcPr>
          <w:p>
            <w:r>
              <w:t>荣月</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9787519750626</w:t>
            </w:r>
          </w:p>
        </w:tc>
      </w:tr>
      <w:tr>
        <w:tc>
          <w:tcPr>
            <w:tcW w:type="dxa" w:w="4320"/>
          </w:tcPr>
          <w:p>
            <w:r>
              <w:t>出版日期</w:t>
            </w:r>
          </w:p>
        </w:tc>
        <w:tc>
          <w:tcPr>
            <w:tcW w:type="dxa" w:w="4320"/>
          </w:tcPr>
          <w:p>
            <w:r>
              <w:t>2020-09-01</w:t>
            </w:r>
          </w:p>
        </w:tc>
      </w:tr>
      <w:tr>
        <w:tc>
          <w:tcPr>
            <w:tcW w:type="dxa" w:w="4320"/>
          </w:tcPr>
          <w:p>
            <w:r>
              <w:t>页数</w:t>
            </w:r>
          </w:p>
        </w:tc>
        <w:tc>
          <w:tcPr>
            <w:tcW w:type="dxa" w:w="4320"/>
          </w:tcPr>
          <w:p>
            <w:r>
              <w:t>178</w:t>
            </w:r>
          </w:p>
        </w:tc>
      </w:tr>
      <w:tr>
        <w:tc>
          <w:tcPr>
            <w:tcW w:type="dxa" w:w="4320"/>
          </w:tcPr>
          <w:p>
            <w:r>
              <w:t>价格</w:t>
            </w:r>
          </w:p>
        </w:tc>
        <w:tc>
          <w:tcPr>
            <w:tcW w:type="dxa" w:w="4320"/>
          </w:tcPr>
          <w:p>
            <w:r/>
          </w:p>
        </w:tc>
      </w:tr>
      <w:tr>
        <w:tc>
          <w:tcPr>
            <w:tcW w:type="dxa" w:w="4320"/>
          </w:tcPr>
          <w:p>
            <w:r>
              <w:t>关键词</w:t>
            </w:r>
          </w:p>
        </w:tc>
        <w:tc>
          <w:tcPr>
            <w:tcW w:type="dxa" w:w="4320"/>
          </w:tcPr>
          <w:p>
            <w:r>
              <w:t>量刑-研究-中国</w:t>
            </w:r>
          </w:p>
        </w:tc>
      </w:tr>
      <w:tr>
        <w:tc>
          <w:tcPr>
            <w:tcW w:type="dxa" w:w="4320"/>
          </w:tcPr>
          <w:p>
            <w:r>
              <w:t>分类</w:t>
            </w:r>
          </w:p>
        </w:tc>
        <w:tc>
          <w:tcPr>
            <w:tcW w:type="dxa" w:w="4320"/>
          </w:tcPr>
          <w:p>
            <w:r>
              <w:t>刑法</w:t>
            </w:r>
          </w:p>
        </w:tc>
      </w:tr>
    </w:tbl>
    <w:p/>
    <w:p>
      <w:pPr>
        <w:pStyle w:val="Heading1"/>
      </w:pPr>
      <w:r>
        <w:t>图书介绍</w:t>
      </w:r>
    </w:p>
    <w:p>
      <w:r>
        <w:t>与刑事法治发展的文明进程相同步，目前世界各国的量刑规则都已由最初的单一化量刑规则结构逐渐走向了体系化时代。这种历史演进本身也强有力地说明了，对于量刑规则进行体系性建构的现实需求及其重要性。量刑规则体系性建构的现代意义表现在：通过体系性建构，明确了罪刑法定、罪刑均衡等刑法基本原则在量刑规则体系的第二层级系统中的位阶处于统领地位，其对于第二层级系统中其他构成要件而言具有指导作用。也就是说，量刑规则体系的建构有助于罪刑法定、罪刑均衡等刑法基本原则的贯彻，也有助于刑法人权保障与社会保护双重机能的实现。量刑规则体系不是平面的结构，而是立体的、多层级的系统结构。</w:t>
      </w:r>
    </w:p>
    <w:p/>
    <w:p>
      <w:r>
        <w:t>本书出售、求购地址：https://www.jiaokey.com/book/detail/15029849.html</w:t>
      </w:r>
    </w:p>
    <w:p>
      <w:r>
        <w:t>更多刑法图书推荐：https://www.jiaokey.com</w:t>
      </w:r>
    </w:p>
    <w:p>
      <w:r>
        <w:t>荣月 其他作品：https://www.jiaokey.com/tag/荣月.html</w:t>
      </w:r>
    </w:p>
    <w:p>
      <w:r>
        <w:t>北京：法律出版社 出版图书：https://www.jiaokey.com/tag/北京：法律出版社.html</w:t>
      </w:r>
    </w:p>
    <w:p>
      <w:r>
        <w:t>关键词搜索：https://www.jiaokey.com/tag/量刑-研究-中国.html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