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新时期推进民族事务治理法治化的思考</w:t>
      </w:r>
    </w:p>
    <w:p>
      <w:r>
        <w:rPr>
          <w:rFonts w:ascii="宋体" w:hAnsi="宋体" w:eastAsia="宋体"/>
          <w:sz w:val="24"/>
        </w:rPr>
        <w:t>董强、宋艳贺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新时期推进民族事务治理法治化的思考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董强、宋艳贺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本书出售、求购地址：https://www.jiaokey.com/book/detail/22299010.html</w:t>
      </w:r>
    </w:p>
    <w:p>
      <w:r>
        <w:t>更多相关图书推荐：https://www.jiaokey.com</w:t>
      </w:r>
    </w:p>
    <w:p>
      <w:r>
        <w:t>董强、宋艳贺 其他作品：https://www.jiaokey.com/tag/董强、宋艳贺.html</w:t>
      </w:r>
    </w:p>
    <w:p>
      <w:r>
        <w:t>关键词搜索：https://www.jiaokey.com/tag/新时期推进民族事务治理法治化的思考.html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