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“新常态”视阈下传统民族聚落社会重构的三重维度关照</w:t>
      </w:r>
    </w:p>
    <w:p>
      <w:r>
        <w:rPr>
          <w:rFonts w:ascii="宋体" w:hAnsi="宋体" w:eastAsia="宋体"/>
          <w:sz w:val="24"/>
        </w:rPr>
        <w:t>梅军、包龙源、赵巧艳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“新常态”视阈下传统民族聚落社会重构的三重维度关照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梅军、包龙源、赵巧艳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本书出售、求购地址：https://www.jiaokey.com/book/detail/22299012.html</w:t>
      </w:r>
    </w:p>
    <w:p>
      <w:r>
        <w:t>更多相关图书推荐：https://www.jiaokey.com</w:t>
      </w:r>
    </w:p>
    <w:p>
      <w:r>
        <w:t>梅军、包龙源、赵巧艳 其他作品：https://www.jiaokey.com/tag/梅军、包龙源、赵巧艳.html</w:t>
      </w:r>
    </w:p>
    <w:p>
      <w:r>
        <w:t>关键词搜索：https://www.jiaokey.com/tag/“新常态”视阈下传统民族聚落社会重构的三重维度关照.html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