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第二集  剪弯模型动态分析的特征值节化</w:t>
      </w:r>
    </w:p>
    <w:p>
      <w:r>
        <w:rPr>
          <w:rFonts w:ascii="宋体" w:hAnsi="宋体" w:eastAsia="宋体"/>
          <w:sz w:val="24"/>
        </w:rPr>
        <w:t>赖明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第二集  剪弯模型动态分析的特征值节化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重庆建筑工程学院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本书出售、求购地址：https://www.jiaokey.com/book/detail/30005453.html</w:t>
      </w:r>
    </w:p>
    <w:p>
      <w:r>
        <w:t>更多相关图书推荐：https://www.jiaokey.com</w:t>
      </w:r>
    </w:p>
    <w:p>
      <w:r>
        <w:t>赖明 其他作品：https://www.jiaokey.com/tag/赖明.html</w:t>
      </w:r>
    </w:p>
    <w:p>
      <w:r>
        <w:t>重庆建筑工程学院 出版图书：https://www.jiaokey.com/tag/重庆建筑工程学院.html</w:t>
      </w:r>
    </w:p>
    <w:p>
      <w:r>
        <w:t>关键词搜索：https://www.jiaokey.com/tag/青年力学协会第二届年会论文集  第二集  剪弯模型动态分析的特征值节化.html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