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现代世界と伦理</w:t>
      </w:r>
    </w:p>
    <w:p>
      <w:r>
        <w:rPr>
          <w:rFonts w:ascii="宋体" w:hAnsi="宋体" w:eastAsia="宋体"/>
          <w:sz w:val="24"/>
        </w:rPr>
        <w:t>加藤尚武  松山寿一编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现代世界と伦理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加藤尚武  松山寿一编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晃洋书房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本书出售、求购地址：https://www.jiaokey.com/book/detail/40040067.html</w:t>
      </w:r>
    </w:p>
    <w:p>
      <w:r>
        <w:t>更多相关图书推荐：https://www.jiaokey.com</w:t>
      </w:r>
    </w:p>
    <w:p>
      <w:r>
        <w:t>加藤尚武  松山寿一编 其他作品：https://www.jiaokey.com/tag/加藤尚武  松山寿一编.html</w:t>
      </w:r>
    </w:p>
    <w:p>
      <w:r>
        <w:t>株式会社  晃洋书房 出版图书：https://www.jiaokey.com/tag/株式会社  晃洋书房.html</w:t>
      </w:r>
    </w:p>
    <w:p>
      <w:r>
        <w:t>关键词搜索：https://www.jiaokey.com/tag/现代世界と伦理.html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