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21世纪のアジア经济</w:t>
      </w:r>
    </w:p>
    <w:p>
      <w:r>
        <w:rPr>
          <w:rFonts w:ascii="宋体" w:hAnsi="宋体" w:eastAsia="宋体"/>
          <w:sz w:val="24"/>
        </w:rPr>
        <w:t>浦田秀次郎  木下俊彦著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21世纪のアジア经济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浦田秀次郎  木下俊彦著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本书出售、求购地址：https://www.jiaokey.com/book/detail/40052083.html</w:t>
      </w:r>
    </w:p>
    <w:p>
      <w:r>
        <w:t>更多相关图书推荐：https://www.jiaokey.com</w:t>
      </w:r>
    </w:p>
    <w:p>
      <w:r>
        <w:t>浦田秀次郎  木下俊彦著 其他作品：https://www.jiaokey.com/tag/浦田秀次郎  木下俊彦著.html</w:t>
      </w:r>
    </w:p>
    <w:p>
      <w:r>
        <w:t>东洋经济新报社 出版图书：https://www.jiaokey.com/tag/东洋经济新报社.html</w:t>
      </w:r>
    </w:p>
    <w:p>
      <w:r>
        <w:t>关键词搜索：https://www.jiaokey.com/tag/21世纪のアジア经济.html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