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新しぃ日本银行  その机能と业务</w:t>
      </w:r>
    </w:p>
    <w:p>
      <w:r>
        <w:rPr>
          <w:rFonts w:ascii="宋体" w:hAnsi="宋体" w:eastAsia="宋体"/>
          <w:sz w:val="24"/>
        </w:rPr>
        <w:t>日本银行金融研究所编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新しぃ日本银行  その机能と业务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日本银行金融研究所编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本书出售、求购地址：https://www.jiaokey.com/book/detail/40121147.html</w:t>
      </w:r>
    </w:p>
    <w:p>
      <w:r>
        <w:t>更多相关图书推荐：https://www.jiaokey.com</w:t>
      </w:r>
    </w:p>
    <w:p>
      <w:r>
        <w:t>日本银行金融研究所编 其他作品：https://www.jiaokey.com/tag/日本银行金融研究所编.html</w:t>
      </w:r>
    </w:p>
    <w:p>
      <w:r>
        <w:t>株式会社有斐阁 出版图书：https://www.jiaokey.com/tag/株式会社有斐阁.html</w:t>
      </w:r>
    </w:p>
    <w:p>
      <w:r>
        <w:t>关键词搜索：https://www.jiaokey.com/tag/新しぃ日本银行  その机能と业务.html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