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CASES AND MATERIALS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本书出售、求购地址：https://www.jiaokey.com/book/detail/40164871.html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关键词搜索：https://www.jiaokey.com/tag/ADMINISTRATIVE LAW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