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高等学校学習指導要領の展開:芸術科 美術</w:t>
      </w:r>
    </w:p>
    <w:p>
      <w:r>
        <w:rPr>
          <w:rFonts w:ascii="宋体" w:hAnsi="宋体" w:eastAsia="宋体"/>
          <w:sz w:val="24"/>
        </w:rPr>
        <w:t>新川昭一著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高等学校学習指導要領の展開:芸術科 美術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新川昭一著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本书出售、求购地址：https://www.jiaokey.com/book/detail/40297971.html</w:t>
      </w:r>
    </w:p>
    <w:p>
      <w:r>
        <w:t>更多相关图书推荐：https://www.jiaokey.com</w:t>
      </w:r>
    </w:p>
    <w:p>
      <w:r>
        <w:t>新川昭一著 其他作品：https://www.jiaokey.com/tag/新川昭一著.html</w:t>
      </w:r>
    </w:p>
    <w:p>
      <w:r>
        <w:t>明治図書出版 出版图书：https://www.jiaokey.com/tag/明治図書出版.html</w:t>
      </w:r>
    </w:p>
    <w:p>
      <w:r>
        <w:t>关键词搜索：https://www.jiaokey.com/tag/高等学校学習指導要領の展開:芸術科 美術.html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