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422种犯罪的构成要件  维吾尔文</w:t>
      </w:r>
    </w:p>
    <w:p>
      <w:r>
        <w:rPr>
          <w:rFonts w:ascii="宋体" w:hAnsi="宋体" w:eastAsia="宋体"/>
          <w:sz w:val="24"/>
        </w:rPr>
        <w:t>亚力坤·提拉尤夫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422种犯罪的构成要件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亚力坤·提拉尤夫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本书出售、求购地址：https://www.jiaokey.com/book/detail/40326543.html</w:t>
      </w:r>
    </w:p>
    <w:p>
      <w:r>
        <w:t>更多相关图书推荐：https://www.jiaokey.com</w:t>
      </w:r>
    </w:p>
    <w:p>
      <w:r>
        <w:t>亚力坤·提拉尤夫 其他作品：https://www.jiaokey.com/tag/亚力坤·提拉尤夫.html</w:t>
      </w:r>
    </w:p>
    <w:p>
      <w:r>
        <w:t>新疆大学出版社 出版图书：https://www.jiaokey.com/tag/新疆大学出版社.html</w:t>
      </w:r>
    </w:p>
    <w:p>
      <w:r>
        <w:t>关键词搜索：https://www.jiaokey.com/tag/422种犯罪的构成要件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