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SPSS統計パッケージu3000Ⅱu3000解析編</w:t>
      </w:r>
    </w:p>
    <w:p>
      <w:r>
        <w:rPr>
          <w:rFonts w:ascii="宋体" w:hAnsi="宋体" w:eastAsia="宋体"/>
          <w:sz w:val="24"/>
        </w:rPr>
        <w:t>三宅一郎，中野嘉弘，その他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SPSS統計パッケージu3000Ⅱu3000解析編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三宅一郎，中野嘉弘，その他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本书出售、求购地址：https://www.jiaokey.com/book/detail/40437014.html</w:t>
      </w:r>
    </w:p>
    <w:p>
      <w:r>
        <w:t>更多相关图书推荐：https://www.jiaokey.com</w:t>
      </w:r>
    </w:p>
    <w:p>
      <w:r>
        <w:t>三宅一郎，中野嘉弘，その他 其他作品：https://www.jiaokey.com/tag/三宅一郎，中野嘉弘，その他.html</w:t>
      </w:r>
    </w:p>
    <w:p>
      <w:r>
        <w:t>東洋経済新報社 出版图书：https://www.jiaokey.com/tag/東洋経済新報社.html</w:t>
      </w:r>
    </w:p>
    <w:p>
      <w:r>
        <w:t>关键词搜索：https://www.jiaokey.com/tag/SPSS統計パッケージu3000Ⅱu3000解析編.html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