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明解日本語アクセント辞典u3000第二版</w:t>
      </w:r>
    </w:p>
    <w:p>
      <w:r>
        <w:rPr>
          <w:rFonts w:ascii="宋体" w:hAnsi="宋体" w:eastAsia="宋体"/>
          <w:sz w:val="24"/>
        </w:rPr>
        <w:t>金田一春彦，秋永一枝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明解日本語アクセント辞典u3000第二版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金田一春彦，秋永一枝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本书出售、求购地址：https://www.jiaokey.com/book/detail/40443376.html</w:t>
      </w:r>
    </w:p>
    <w:p>
      <w:r>
        <w:t>更多相关图书推荐：https://www.jiaokey.com</w:t>
      </w:r>
    </w:p>
    <w:p>
      <w:r>
        <w:t>金田一春彦，秋永一枝 其他作品：https://www.jiaokey.com/tag/金田一春彦，秋永一枝.html</w:t>
      </w:r>
    </w:p>
    <w:p>
      <w:r>
        <w:t>三省堂 出版图书：https://www.jiaokey.com/tag/三省堂.html</w:t>
      </w:r>
    </w:p>
    <w:p>
      <w:r>
        <w:t>关键词搜索：https://www.jiaokey.com/tag/明解日本語アクセント辞典u3000第二版.html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