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金融法務読本u3000昭和59年版</w:t>
      </w:r>
    </w:p>
    <w:p>
      <w:r>
        <w:rPr>
          <w:rFonts w:ascii="宋体" w:hAnsi="宋体" w:eastAsia="宋体"/>
          <w:sz w:val="24"/>
        </w:rPr>
        <w:t>堀内仁，石井眞司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金融法務読本u3000昭和59年版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堀内仁，石井眞司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本书出售、求购地址：https://www.jiaokey.com/book/detail/40443540.html</w:t>
      </w:r>
    </w:p>
    <w:p>
      <w:r>
        <w:t>更多相关图书推荐：https://www.jiaokey.com</w:t>
      </w:r>
    </w:p>
    <w:p>
      <w:r>
        <w:t>堀内仁，石井眞司 其他作品：https://www.jiaokey.com/tag/堀内仁，石井眞司.html</w:t>
      </w:r>
    </w:p>
    <w:p>
      <w:r>
        <w:t>金融財政 出版图书：https://www.jiaokey.com/tag/金融財政.html</w:t>
      </w:r>
    </w:p>
    <w:p>
      <w:r>
        <w:t>关键词搜索：https://www.jiaokey.com/tag/金融法務読本u3000昭和59年版.html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