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わかり易いu3000損益分岐点の見方?使い方u3000応用?演習例つき</w:t>
      </w:r>
    </w:p>
    <w:p>
      <w:r>
        <w:rPr>
          <w:rFonts w:ascii="宋体" w:hAnsi="宋体" w:eastAsia="宋体"/>
          <w:sz w:val="24"/>
        </w:rPr>
        <w:t>服部克己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わかり易いu3000損益分岐点の見方?使い方u3000応用?演習例つき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服部克己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日本法令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本书出售、求购地址：https://www.jiaokey.com/book/detail/40443772.html</w:t>
      </w:r>
    </w:p>
    <w:p>
      <w:r>
        <w:t>更多相关图书推荐：https://www.jiaokey.com</w:t>
      </w:r>
    </w:p>
    <w:p>
      <w:r>
        <w:t>服部克己 其他作品：https://www.jiaokey.com/tag/服部克己.html</w:t>
      </w:r>
    </w:p>
    <w:p>
      <w:r>
        <w:t>日本法令 出版图书：https://www.jiaokey.com/tag/日本法令.html</w:t>
      </w:r>
    </w:p>
    <w:p>
      <w:r>
        <w:t>关键词搜索：https://www.jiaokey.com/tag/わかり易いu3000損益分岐点の見方?使い方u3000応用?演習例つき.html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