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金本位制と国際金融u30001880－1914</w:t>
      </w:r>
    </w:p>
    <w:p>
      <w:r>
        <w:rPr>
          <w:rFonts w:ascii="宋体" w:hAnsi="宋体" w:eastAsia="宋体"/>
          <w:sz w:val="24"/>
        </w:rPr>
        <w:t>小野一一郎，小林龍馬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金本位制と国際金融u30001880－1914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小野一一郎，小林龍馬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本书出售、求购地址：https://www.jiaokey.com/book/detail/40444292.html</w:t>
      </w:r>
    </w:p>
    <w:p>
      <w:r>
        <w:t>更多相关图书推荐：https://www.jiaokey.com</w:t>
      </w:r>
    </w:p>
    <w:p>
      <w:r>
        <w:t>小野一一郎，小林龍馬 其他作品：https://www.jiaokey.com/tag/小野一一郎，小林龍馬.html</w:t>
      </w:r>
    </w:p>
    <w:p>
      <w:r>
        <w:t>日本評論社 出版图书：https://www.jiaokey.com/tag/日本評論社.html</w:t>
      </w:r>
    </w:p>
    <w:p>
      <w:r>
        <w:t>关键词搜索：https://www.jiaokey.com/tag/金本位制と国際金融u30001880－1914.html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