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日本の財政金融政策u3000構造変化と新たな選択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日本の財政金融政策u3000構造変化と新たな選択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本书出售、求购地址：https://www.jiaokey.com/book/detail/40444424.html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关键词搜索：https://www.jiaokey.com/tag/日本の財政金融政策u3000構造変化と新たな選択.html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