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新版u3000農林統計の見方使い方</w:t>
      </w:r>
    </w:p>
    <w:p>
      <w:r>
        <w:rPr>
          <w:rFonts w:ascii="宋体" w:hAnsi="宋体" w:eastAsia="宋体"/>
          <w:sz w:val="24"/>
        </w:rPr>
        <w:t>小山智士，満永正昭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新版u3000農林統計の見方使い方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小山智士，満永正昭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本书出售、求购地址：https://www.jiaokey.com/book/detail/40445133.html</w:t>
      </w:r>
    </w:p>
    <w:p>
      <w:r>
        <w:t>更多相关图书推荐：https://www.jiaokey.com</w:t>
      </w:r>
    </w:p>
    <w:p>
      <w:r>
        <w:t>小山智士，満永正昭 其他作品：https://www.jiaokey.com/tag/小山智士，満永正昭.html</w:t>
      </w:r>
    </w:p>
    <w:p>
      <w:r>
        <w:t>家の光協会 出版图书：https://www.jiaokey.com/tag/家の光協会.html</w:t>
      </w:r>
    </w:p>
    <w:p>
      <w:r>
        <w:t>关键词搜索：https://www.jiaokey.com/tag/新版u3000農林統計の見方使い方.html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