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商標実務入門u3000書類応答の具体例?審査実務の解説</w:t>
      </w:r>
    </w:p>
    <w:p>
      <w:r>
        <w:rPr>
          <w:rFonts w:ascii="宋体" w:hAnsi="宋体" w:eastAsia="宋体"/>
          <w:sz w:val="24"/>
        </w:rPr>
        <w:t>江口俊夫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商標実務入門u3000書類応答の具体例?審査実務の解説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発明協会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本书出售、求购地址：https://www.jiaokey.com/book/detail/40445264.html</w:t>
      </w:r>
    </w:p>
    <w:p>
      <w:r>
        <w:t>更多相关图书推荐：https://www.jiaokey.com</w:t>
      </w:r>
    </w:p>
    <w:p>
      <w:r>
        <w:t>江口俊夫 其他作品：https://www.jiaokey.com/tag/江口俊夫.html</w:t>
      </w:r>
    </w:p>
    <w:p>
      <w:r>
        <w:t>発明協会 出版图书：https://www.jiaokey.com/tag/発明協会.html</w:t>
      </w:r>
    </w:p>
    <w:p>
      <w:r>
        <w:t>关键词搜索：https://www.jiaokey.com/tag/商標実務入門u3000書類応答の具体例?審査実務の解説.html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