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三版日本の交通問題u3000低成長下の交通経済</w:t>
      </w:r>
    </w:p>
    <w:p>
      <w:r>
        <w:rPr>
          <w:rFonts w:ascii="宋体" w:hAnsi="宋体" w:eastAsia="宋体"/>
          <w:sz w:val="24"/>
        </w:rPr>
        <w:t>中西健一，広岡治哉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三版日本の交通問題u3000低成長下の交通経済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中西健一，広岡治哉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本书出售、求购地址：https://www.jiaokey.com/book/detail/40445387.html</w:t>
      </w:r>
    </w:p>
    <w:p>
      <w:r>
        <w:t>更多相关图书推荐：https://www.jiaokey.com</w:t>
      </w:r>
    </w:p>
    <w:p>
      <w:r>
        <w:t>中西健一，広岡治哉 其他作品：https://www.jiaokey.com/tag/中西健一，広岡治哉.html</w:t>
      </w:r>
    </w:p>
    <w:p>
      <w:r>
        <w:t>ミネルヴァ書房 出版图书：https://www.jiaokey.com/tag/ミネルヴァ書房.html</w:t>
      </w:r>
    </w:p>
    <w:p>
      <w:r>
        <w:t>关键词搜索：https://www.jiaokey.com/tag/三版日本の交通問題u3000低成長下の交通経済.html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