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経済学業書u3000財政の構造</w:t>
      </w:r>
    </w:p>
    <w:p>
      <w:r>
        <w:rPr>
          <w:rFonts w:ascii="宋体" w:hAnsi="宋体" w:eastAsia="宋体"/>
          <w:sz w:val="24"/>
        </w:rPr>
        <w:t>林栄夫、中桐宏文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経済学業書u3000財政の構造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林栄夫、中桐宏文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本书出售、求购地址：https://www.jiaokey.com/book/detail/40447198.html</w:t>
      </w:r>
    </w:p>
    <w:p>
      <w:r>
        <w:t>更多相关图书推荐：https://www.jiaokey.com</w:t>
      </w:r>
    </w:p>
    <w:p>
      <w:r>
        <w:t>林栄夫、中桐宏文 其他作品：https://www.jiaokey.com/tag/林栄夫、中桐宏文.html</w:t>
      </w:r>
    </w:p>
    <w:p>
      <w:r>
        <w:t>世界書院 出版图书：https://www.jiaokey.com/tag/世界書院.html</w:t>
      </w:r>
    </w:p>
    <w:p>
      <w:r>
        <w:t>关键词搜索：https://www.jiaokey.com/tag/経済学業書u3000財政の構造.html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