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資金繰りu3000日常業務の疑問に答える</w:t>
      </w:r>
    </w:p>
    <w:p>
      <w:r>
        <w:rPr>
          <w:rFonts w:ascii="宋体" w:hAnsi="宋体" w:eastAsia="宋体"/>
          <w:sz w:val="24"/>
        </w:rPr>
        <w:t>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資金繰りu3000日常業務の疑問に答える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本书出售、求购地址：https://www.jiaokey.com/book/detail/40447293.html</w:t>
      </w:r>
    </w:p>
    <w:p>
      <w:r>
        <w:t>更多相关图书推荐：https://www.jiaokey.com</w:t>
      </w:r>
    </w:p>
    <w:p>
      <w:r>
        <w:t>染谷恭次郎 其他作品：https://www.jiaokey.com/tag/染谷恭次郎.html</w:t>
      </w:r>
    </w:p>
    <w:p>
      <w:r>
        <w:t>有斐閣 出版图书：https://www.jiaokey.com/tag/有斐閣.html</w:t>
      </w:r>
    </w:p>
    <w:p>
      <w:r>
        <w:t>关键词搜索：https://www.jiaokey.com/tag/資金繰りu3000日常業務の疑問に答える.html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