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日本農業の理論と政策</w:t>
      </w:r>
    </w:p>
    <w:p>
      <w:r>
        <w:rPr>
          <w:rFonts w:ascii="宋体" w:hAnsi="宋体" w:eastAsia="宋体"/>
          <w:sz w:val="24"/>
        </w:rPr>
        <w:t>？峻衆三、東井正美、常盤政治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日本農業の理論と政策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？峻衆三、東井正美、常盤政治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本书出售、求购地址：https://www.jiaokey.com/book/detail/40447338.html</w:t>
      </w:r>
    </w:p>
    <w:p>
      <w:r>
        <w:t>更多相关图书推荐：https://www.jiaokey.com</w:t>
      </w:r>
    </w:p>
    <w:p>
      <w:r>
        <w:t>？峻衆三、東井正美、常盤政治 其他作品：https://www.jiaokey.com/tag/？峻衆三、東井正美、常盤政治.html</w:t>
      </w:r>
    </w:p>
    <w:p>
      <w:r>
        <w:t>ミネルヴァ書房 出版图书：https://www.jiaokey.com/tag/ミネルヴァ書房.html</w:t>
      </w:r>
    </w:p>
    <w:p>
      <w:r>
        <w:t>关键词搜索：https://www.jiaokey.com/tag/日本農業の理論と政策.html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