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 ANALYSIS AND LANGUAGE FOR SPECIFIC PURPOSES</w:t>
      </w:r>
    </w:p>
    <w:p>
      <w:r>
        <w:rPr>
          <w:rFonts w:ascii="宋体" w:hAnsi="宋体" w:eastAsia="宋体"/>
          <w:sz w:val="24"/>
        </w:rPr>
        <w:t>HUGO BOWLES &amp; PAUL SEEDHOUSE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 ANALYSIS AND LANGUAGE FOR SPECIFIC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BOWLES &amp; PAUL SEEDHOUSE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本书出售、求购地址：https://www.jiaokey.com/book/detail/40497136.html</w:t>
      </w:r>
    </w:p>
    <w:p>
      <w:r>
        <w:t>更多相关图书推荐：https://www.jiaokey.com</w:t>
      </w:r>
    </w:p>
    <w:p>
      <w:r>
        <w:t>HUGO BOWLES &amp; PAUL SEEDHOUSE 其他作品：https://www.jiaokey.com/tag/HUGO BOWLES &amp; PAUL SEEDHOUSE.html</w:t>
      </w:r>
    </w:p>
    <w:p>
      <w:r>
        <w:t>PETER LANG 出版图书：https://www.jiaokey.com/tag/PETER LANG.html</w:t>
      </w:r>
    </w:p>
    <w:p>
      <w:r>
        <w:t>关键词搜索：https://www.jiaokey.com/tag/CONVERSATION ANALYSIS AND LANGUAGE FOR SPECIFIC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