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男女雇用平等の運用基準</w:t>
      </w:r>
    </w:p>
    <w:p>
      <w:r>
        <w:rPr>
          <w:rFonts w:ascii="宋体" w:hAnsi="宋体" w:eastAsia="宋体"/>
          <w:sz w:val="24"/>
        </w:rPr>
        <w:t>桑原昌宏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男女雇用平等の運用基準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桑原昌宏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本书出售、求购地址：https://www.jiaokey.com/book/detail/40517045.html</w:t>
      </w:r>
    </w:p>
    <w:p>
      <w:r>
        <w:t>更多相关图书推荐：https://www.jiaokey.com</w:t>
      </w:r>
    </w:p>
    <w:p>
      <w:r>
        <w:t>桑原昌宏 其他作品：https://www.jiaokey.com/tag/桑原昌宏.html</w:t>
      </w:r>
    </w:p>
    <w:p>
      <w:r>
        <w:t>総合労働研究所 出版图书：https://www.jiaokey.com/tag/総合労働研究所.html</w:t>
      </w:r>
    </w:p>
    <w:p>
      <w:r>
        <w:t>关键词搜索：https://www.jiaokey.com/tag/男女雇用平等の運用基準.html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