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職務·職能体系をとり入れたこれからの賃金</w:t>
      </w:r>
    </w:p>
    <w:p>
      <w:r>
        <w:rPr>
          <w:rFonts w:ascii="宋体" w:hAnsi="宋体" w:eastAsia="宋体"/>
          <w:sz w:val="24"/>
        </w:rPr>
        <w:t>西宮輝明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職務·職能体系をとり入れたこれからの賃金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西宮輝明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本书出售、求购地址：https://www.jiaokey.com/book/detail/40535339.html</w:t>
      </w:r>
    </w:p>
    <w:p>
      <w:r>
        <w:t>更多相关图书推荐：https://www.jiaokey.com</w:t>
      </w:r>
    </w:p>
    <w:p>
      <w:r>
        <w:t>西宮輝明 其他作品：https://www.jiaokey.com/tag/西宮輝明.html</w:t>
      </w:r>
    </w:p>
    <w:p>
      <w:r>
        <w:t>労働法学 出版图书：https://www.jiaokey.com/tag/労働法学.html</w:t>
      </w:r>
    </w:p>
    <w:p>
      <w:r>
        <w:t>关键词搜索：https://www.jiaokey.com/tag/職務·職能体系をとり入れたこれからの賃金.html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