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新規の世界·転機の日本:「新戦後」90年代を読む</w:t>
      </w:r>
    </w:p>
    <w:p>
      <w:r>
        <w:rPr>
          <w:rFonts w:ascii="宋体" w:hAnsi="宋体" w:eastAsia="宋体"/>
          <w:sz w:val="24"/>
        </w:rPr>
        <w:t>堺屋太一著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新規の世界·転機の日本:「新戦後」90年代を読む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本书出售、求购地址：https://www.jiaokey.com/book/detail/40577898.html</w:t>
      </w:r>
    </w:p>
    <w:p>
      <w:r>
        <w:t>更多相关图书推荐：https://www.jiaokey.com</w:t>
      </w:r>
    </w:p>
    <w:p>
      <w:r>
        <w:t>堺屋太一著 其他作品：https://www.jiaokey.com/tag/堺屋太一著.html</w:t>
      </w:r>
    </w:p>
    <w:p>
      <w:r>
        <w:t>実業之日本社 出版图书：https://www.jiaokey.com/tag/実業之日本社.html</w:t>
      </w:r>
    </w:p>
    <w:p>
      <w:r>
        <w:t>关键词搜索：https://www.jiaokey.com/tag/新規の世界·転機の日本:「新戦後」90年代を読む.html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