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不当労働行為制度の実際</w:t>
      </w:r>
    </w:p>
    <w:p>
      <w:r>
        <w:rPr>
          <w:rFonts w:ascii="宋体" w:hAnsi="宋体" w:eastAsia="宋体"/>
          <w:sz w:val="24"/>
        </w:rPr>
        <w:t>萩沢清彦編著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不当労働行為制度の実際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萩沢清彦編著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本书出售、求购地址：https://www.jiaokey.com/book/detail/40577928.html</w:t>
      </w:r>
    </w:p>
    <w:p>
      <w:r>
        <w:t>更多相关图书推荐：https://www.jiaokey.com</w:t>
      </w:r>
    </w:p>
    <w:p>
      <w:r>
        <w:t>萩沢清彦編著 其他作品：https://www.jiaokey.com/tag/萩沢清彦編著.html</w:t>
      </w:r>
    </w:p>
    <w:p>
      <w:r>
        <w:t>日本労働協会 出版图书：https://www.jiaokey.com/tag/日本労働協会.html</w:t>
      </w:r>
    </w:p>
    <w:p>
      <w:r>
        <w:t>关键词搜索：https://www.jiaokey.com/tag/不当労働行為制度の実際.html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