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</w:t>
      </w:r>
    </w:p>
    <w:p>
      <w:r>
        <w:rPr>
          <w:rFonts w:ascii="宋体" w:hAnsi="宋体" w:eastAsia="宋体"/>
          <w:sz w:val="24"/>
        </w:rPr>
        <w:t>今西錦司，森下正明，吉良竜夫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今西錦司，森下正明，吉良竜夫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本书出售、求购地址：https://www.jiaokey.com/book/detail/40643182.html</w:t>
      </w:r>
    </w:p>
    <w:p>
      <w:r>
        <w:t>更多相关图书推荐：https://www.jiaokey.com</w:t>
      </w:r>
    </w:p>
    <w:p>
      <w:r>
        <w:t>今西錦司，森下正明，吉良竜夫 其他作品：https://www.jiaokey.com/tag/今西錦司，森下正明，吉良竜夫.html</w:t>
      </w:r>
    </w:p>
    <w:p>
      <w:r>
        <w:t>中央公論社 出版图书：https://www.jiaokey.com/tag/中央公論社.html</w:t>
      </w:r>
    </w:p>
    <w:p>
      <w:r>
        <w:t>关键词搜索：https://www.jiaokey.com/tag/自然.html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