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СТРУКТУРА И ДИНАМИКА БИОЦЕНОЗОВ РЕЧНЫХ ДОЛИН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СТРУКТУРА И ДИНАМИКА БИОЦЕНОЗОВ РЕЧНЫХ ДОЛИН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本书出售、求购地址：https://www.jiaokey.com/book/detail/40650362.html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关键词搜索：https://www.jiaokey.com/tag/СТРУКТУРА И ДИНАМИКА БИОЦЕНОЗОВ РЕЧНЫХ ДОЛИН.html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