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COURT OF HUMAN RICHTS CASE-LAW OF THE GRAND CHAMBER  1998-2006</w:t>
      </w:r>
    </w:p>
    <w:p>
      <w:r>
        <w:rPr>
          <w:rFonts w:ascii="宋体" w:hAnsi="宋体" w:eastAsia="宋体"/>
          <w:sz w:val="24"/>
        </w:rPr>
        <w:t>JAN SIKUTA AND EVE HUBALKOVA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COURT OF HUMAN RICHTS CASE-LAW OF THE GRAND CHAMBER  1998-2006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SIKUTA AND EVE HUBALKOVA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T·M·C·ASSER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本书出售、求购地址：https://www.jiaokey.com/book/detail/40690210.html</w:t>
      </w:r>
    </w:p>
    <w:p>
      <w:r>
        <w:t>更多相关图书推荐：https://www.jiaokey.com</w:t>
      </w:r>
    </w:p>
    <w:p>
      <w:r>
        <w:t>JAN SIKUTA AND EVE HUBALKOVA 其他作品：https://www.jiaokey.com/tag/JAN SIKUTA AND EVE HUBALKOVA.html</w:t>
      </w:r>
    </w:p>
    <w:p>
      <w:r>
        <w:t>T·M·C·ASSER PRESS 出版图书：https://www.jiaokey.com/tag/T·M·C·ASSER PRESS.html</w:t>
      </w:r>
    </w:p>
    <w:p>
      <w:r>
        <w:t>关键词搜索：https://www.jiaokey.com/tag/EUROPEAN COURT OF HUMAN RICHTS CASE-LAW OF THE GRAND CHAMBER  1998-2006.html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