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学校施設のリニューアル：計画と事例：子供たちを育てる学校施設</w:t>
      </w:r>
    </w:p>
    <w:p>
      <w:r>
        <w:rPr>
          <w:rFonts w:ascii="宋体" w:hAnsi="宋体" w:eastAsia="宋体"/>
          <w:sz w:val="24"/>
        </w:rPr>
        <w:t>文教施設協会編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学校施設のリニューアル：計画と事例：子供たちを育てる学校施設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文教施設協会編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本书出售、求购地址：https://www.jiaokey.com/book/detail/40700573.html</w:t>
      </w:r>
    </w:p>
    <w:p>
      <w:r>
        <w:t>更多相关图书推荐：https://www.jiaokey.com</w:t>
      </w:r>
    </w:p>
    <w:p>
      <w:r>
        <w:t>文教施設協会編 其他作品：https://www.jiaokey.com/tag/文教施設協会編.html</w:t>
      </w:r>
    </w:p>
    <w:p>
      <w:r>
        <w:t>第一法規 出版图书：https://www.jiaokey.com/tag/第一法規.html</w:t>
      </w:r>
    </w:p>
    <w:p>
      <w:r>
        <w:t>关键词搜索：https://www.jiaokey.com/tag/学校施設のリニューアル：計画と事例：子供たちを育てる学校施設.html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