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新幼稚園教育要領の解説</w:t>
      </w:r>
    </w:p>
    <w:p>
      <w:r>
        <w:rPr>
          <w:rFonts w:ascii="宋体" w:hAnsi="宋体" w:eastAsia="宋体"/>
          <w:sz w:val="24"/>
        </w:rPr>
        <w:t xml:space="preserve"> 神長美津子編著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新幼稚園教育要領の解説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神長美津子編著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第一法規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本书出售、求购地址：https://www.jiaokey.com/book/detail/40701034.html</w:t>
      </w:r>
    </w:p>
    <w:p>
      <w:r>
        <w:t>更多相关图书推荐：https://www.jiaokey.com</w:t>
      </w:r>
    </w:p>
    <w:p>
      <w:r>
        <w:t xml:space="preserve"> 神長美津子編著 其他作品：https://www.jiaokey.com/tag/ 神長美津子編著.html</w:t>
      </w:r>
    </w:p>
    <w:p>
      <w:r>
        <w:t>第一法規 出版图书：https://www.jiaokey.com/tag/第一法規.html</w:t>
      </w:r>
    </w:p>
    <w:p>
      <w:r>
        <w:t>关键词搜索：https://www.jiaokey.com/tag/新幼稚園教育要領の解説.html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