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生涯各期の人間理解と学習活動</w:t>
      </w:r>
    </w:p>
    <w:p>
      <w:r>
        <w:rPr>
          <w:rFonts w:ascii="宋体" w:hAnsi="宋体" w:eastAsia="宋体"/>
          <w:sz w:val="24"/>
        </w:rPr>
        <w:t xml:space="preserve"> 三浦清一郎編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生涯各期の人間理解と学習活動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三浦清一郎編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本书出售、求购地址：https://www.jiaokey.com/book/detail/40701940.html</w:t>
      </w:r>
    </w:p>
    <w:p>
      <w:r>
        <w:t>更多相关图书推荐：https://www.jiaokey.com</w:t>
      </w:r>
    </w:p>
    <w:p>
      <w:r>
        <w:t xml:space="preserve"> 三浦清一郎編 其他作品：https://www.jiaokey.com/tag/ 三浦清一郎編.html</w:t>
      </w:r>
    </w:p>
    <w:p>
      <w:r>
        <w:t>第一法規 出版图书：https://www.jiaokey.com/tag/第一法規.html</w:t>
      </w:r>
    </w:p>
    <w:p>
      <w:r>
        <w:t>关键词搜索：https://www.jiaokey.com/tag/生涯各期の人間理解と学習活動.html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