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Rings and nearrings proceedings of the International Conference on Algebra</w:t>
      </w:r>
    </w:p>
    <w:p>
      <w:r>
        <w:rPr>
          <w:rFonts w:ascii="宋体" w:hAnsi="宋体" w:eastAsia="宋体"/>
          <w:sz w:val="24"/>
        </w:rPr>
        <w:t>mikhail chebotar and yuebfong and wen-fong ke and pjek-hwee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Rings and nearrings proceedings of the International Conference on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chebotar and yuebfong and wen-fong ke and pjek-hwee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本书出售、求购地址：https://www.jiaokey.com/book/detail/40711933.html</w:t>
      </w:r>
    </w:p>
    <w:p>
      <w:r>
        <w:t>更多相关图书推荐：https://www.jiaokey.com</w:t>
      </w:r>
    </w:p>
    <w:p>
      <w:r>
        <w:t>mikhail chebotar and yuebfong and wen-fong ke and pjek-hwee lee 其他作品：https://www.jiaokey.com/tag/mikhail chebotar and yuebfong and wen-fong ke and pjek-hwee lee.html</w:t>
      </w:r>
    </w:p>
    <w:p>
      <w:r>
        <w:t>Walter de Gruyter 出版图书：https://www.jiaokey.com/tag/Walter de Gruyter.html</w:t>
      </w:r>
    </w:p>
    <w:p>
      <w:r>
        <w:t>关键词搜索：https://www.jiaokey.com/tag/Rings and nearrings proceedings of the International Conference on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