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AND WORLD PEACE  RELIGIOUS CAPACITIES FOR CONFLICT RESOLUTION AND PEACEBUILDING</w:t>
      </w:r>
    </w:p>
    <w:p>
      <w:r>
        <w:rPr>
          <w:rFonts w:ascii="宋体" w:hAnsi="宋体" w:eastAsia="宋体"/>
          <w:sz w:val="24"/>
        </w:rPr>
        <w:t>THOMAS HELD AND MARKUS WEINGARDT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AND WORLD PEACE  RELIGIOUS CAPACITIES FOR CONFLICT RESOLUTION AND PEACEBUILDING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HELD AND MARKUS WEINGARDT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本书出售、求购地址：https://www.jiaokey.com/book/detail/40740463.html</w:t>
      </w:r>
    </w:p>
    <w:p>
      <w:r>
        <w:t>更多相关图书推荐：https://www.jiaokey.com</w:t>
      </w:r>
    </w:p>
    <w:p>
      <w:r>
        <w:t>THOMAS HELD AND MARKUS WEINGARDT 其他作品：https://www.jiaokey.com/tag/THOMAS HELD AND MARKUS WEINGARDT.html</w:t>
      </w:r>
    </w:p>
    <w:p>
      <w:r>
        <w:t>NOMOS 出版图书：https://www.jiaokey.com/tag/NOMOS.html</w:t>
      </w:r>
    </w:p>
    <w:p>
      <w:r>
        <w:t>关键词搜索：https://www.jiaokey.com/tag/RELIGIONS AND WORLD PEACE  RELIGIOUS CAPACITIES FOR CONFLICT RESOLUTION AND PEACEBUILDING.html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