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TOXICITY PREDICTION  CATEGORY FORMATION AND READ-ACROSS</w:t>
      </w:r>
    </w:p>
    <w:p>
      <w:r>
        <w:rPr>
          <w:rFonts w:ascii="宋体" w:hAnsi="宋体" w:eastAsia="宋体"/>
          <w:sz w:val="24"/>
        </w:rPr>
        <w:t>JUDITH C.MADDEN AND STEVEN J.ENOCH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TOXICITY PREDICTION  CATEGORY FORMATION AND READ-ACROSS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C.MADDEN AND STEVEN J.ENOCH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本书出售、求购地址：https://www.jiaokey.com/book/detail/40800892.html</w:t>
      </w:r>
    </w:p>
    <w:p>
      <w:r>
        <w:t>更多相关图书推荐：https://www.jiaokey.com</w:t>
      </w:r>
    </w:p>
    <w:p>
      <w:r>
        <w:t>JUDITH C.MADDEN AND STEVEN J.ENOCH 其他作品：https://www.jiaokey.com/tag/JUDITH C.MADDEN AND STEVEN J.ENOCH.html</w:t>
      </w:r>
    </w:p>
    <w:p>
      <w:r>
        <w:t>RSC PUBLISHING 出版图书：https://www.jiaokey.com/tag/RSC PUBLISHING.html</w:t>
      </w:r>
    </w:p>
    <w:p>
      <w:r>
        <w:t>关键词搜索：https://www.jiaokey.com/tag/CHEMICAL TOXICITY PREDICTION  CATEGORY FORMATION AND READ-ACROSS.html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