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Graphene materials fundamentals and emerging applications</w:t>
      </w:r>
    </w:p>
    <w:p>
      <w:r>
        <w:rPr>
          <w:rFonts w:ascii="宋体" w:hAnsi="宋体" w:eastAsia="宋体"/>
          <w:sz w:val="24"/>
        </w:rPr>
        <w:t>Ashutosh Tiwari ; Mikael Syvajarvi ; Russell Richardson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Graphene materials fundamentals and emerging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Ashutosh Tiwari ; Mikael Syvajarvi ; Russell Richardson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Scrivener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本书出售、求购地址：https://www.jiaokey.com/book/detail/40876891.html</w:t>
      </w:r>
    </w:p>
    <w:p>
      <w:r>
        <w:t>更多相关图书推荐：https://www.jiaokey.com</w:t>
      </w:r>
    </w:p>
    <w:p>
      <w:r>
        <w:t>Ashutosh Tiwari ; Mikael Syvajarvi ; Russell Richardson 其他作品：https://www.jiaokey.com/tag/Ashutosh Tiwari ; Mikael Syvajarvi ; Russell Richardson.html</w:t>
      </w:r>
    </w:p>
    <w:p>
      <w:r>
        <w:t>Scrivener Publishing 出版图书：https://www.jiaokey.com/tag/Scrivener Publishing.html</w:t>
      </w:r>
    </w:p>
    <w:p>
      <w:r>
        <w:t>关键词搜索：https://www.jiaokey.com/tag/Graphene materials fundamentals and emerging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