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capture for human/machine interfaces practical aspects of microphone array signal processing (LNCIS 315)</w:t>
      </w:r>
    </w:p>
    <w:p>
      <w:r>
        <w:rPr>
          <w:rFonts w:ascii="宋体" w:hAnsi="宋体" w:eastAsia="宋体"/>
          <w:sz w:val="24"/>
        </w:rPr>
        <w:t>Wolfgang Herbordt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capture for human/machine interfaces practical aspects of microphone array signal processing (LNCIS 315)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Herbordt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本书出售、求购地址：https://www.jiaokey.com/book/detail/40905916.html</w:t>
      </w:r>
    </w:p>
    <w:p>
      <w:r>
        <w:t>更多相关图书推荐：https://www.jiaokey.com</w:t>
      </w:r>
    </w:p>
    <w:p>
      <w:r>
        <w:t>Wolfgang Herbordt 其他作品：https://www.jiaokey.com/tag/Wolfgang Herbordt.html</w:t>
      </w:r>
    </w:p>
    <w:p>
      <w:r>
        <w:t>Springer 出版图书：https://www.jiaokey.com/tag/Springer.html</w:t>
      </w:r>
    </w:p>
    <w:p>
      <w:r>
        <w:t>关键词搜索：https://www.jiaokey.com/tag/Sound capture for human/machine interfaces practical aspects of microphone array signal processing (LNCIS 315).html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