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STANDARD FOR CONCRETE GRAVITY DAMS=混凝土重力坝设计规范</w:t>
      </w:r>
    </w:p>
    <w:p>
      <w:r>
        <w:rPr>
          <w:rFonts w:ascii="宋体" w:hAnsi="宋体" w:eastAsia="宋体"/>
          <w:sz w:val="24"/>
        </w:rPr>
        <w:t>中华人民共和国水利部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STANDARD FOR CONCRETE GRAVITY DAMS=混凝土重力坝设计规范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本书出售、求购地址：https://www.jiaokey.com/book/detail/40909574.html</w:t>
      </w:r>
    </w:p>
    <w:p>
      <w:r>
        <w:t>更多相关图书推荐：https://www.jiaokey.com</w:t>
      </w:r>
    </w:p>
    <w:p>
      <w:r>
        <w:t>中华人民共和国水利部 其他作品：https://www.jiaokey.com/tag/中华人民共和国水利部.html</w:t>
      </w:r>
    </w:p>
    <w:p>
      <w:r>
        <w:t>黄河水利出版社 出版图书：https://www.jiaokey.com/tag/黄河水利出版社.html</w:t>
      </w:r>
    </w:p>
    <w:p>
      <w:r>
        <w:t>关键词搜索：https://www.jiaokey.com/tag/DESIGN STANDARD FOR CONCRETE GRAVITY DAMS=混凝土重力坝设计规范.html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