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Reflecting on Critical Incidents in Language Education 40 Dilemmas For Novice TESOL Professionals</w:t>
      </w:r>
    </w:p>
    <w:p>
      <w:r>
        <w:rPr>
          <w:rFonts w:ascii="宋体" w:hAnsi="宋体" w:eastAsia="宋体"/>
          <w:sz w:val="24"/>
        </w:rPr>
        <w:t>Laura Baecher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Reflecting on Critical Incidents in Language Education 40 Dilemmas For Novice TESOL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Baecher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本书出售、求购地址：https://www.jiaokey.com/book/detail/40937293.html</w:t>
      </w:r>
    </w:p>
    <w:p>
      <w:r>
        <w:t>更多相关图书推荐：https://www.jiaokey.com</w:t>
      </w:r>
    </w:p>
    <w:p>
      <w:r>
        <w:t>Laura Baecher 其他作品：https://www.jiaokey.com/tag/Laura Baecher.html</w:t>
      </w:r>
    </w:p>
    <w:p>
      <w:r>
        <w:t>Bloomsbury Academic 出版图书：https://www.jiaokey.com/tag/Bloomsbury Academic.html</w:t>
      </w:r>
    </w:p>
    <w:p>
      <w:r>
        <w:t>关键词搜索：https://www.jiaokey.com/tag/Reflecting on Critical Incidents in Language Education 40 Dilemmas For Novice TESOL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