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DIAGNOSIS IN TRADITIONAL CHINESE MEDICINE</w:t>
      </w:r>
    </w:p>
    <w:p>
      <w:r>
        <w:rPr>
          <w:rFonts w:ascii="宋体" w:hAnsi="宋体" w:eastAsia="宋体"/>
          <w:sz w:val="24"/>
        </w:rPr>
        <w:t>HONG-ZHOU WU ZHAO-QIN FANG PAN-JICHENG CHOU-PING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DIAGNOSIS IN TRADITIONAL CHINESE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HONG-ZHOU WU ZHAO-QIN FANG PAN-JICHENG CHOU-PING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CENTURY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本书出售、求购地址：https://www.jiaokey.com/book/detail/40948711.html</w:t>
      </w:r>
    </w:p>
    <w:p>
      <w:r>
        <w:t>更多相关图书推荐：https://www.jiaokey.com</w:t>
      </w:r>
    </w:p>
    <w:p>
      <w:r>
        <w:t>HONG-ZHOU WU ZHAO-QIN FANG PAN-JICHENG CHOU-PING HAN 其他作品：https://www.jiaokey.com/tag/HONG-ZHOU WU ZHAO-QIN FANG PAN-JICHENG CHOU-PING HAN.html</w:t>
      </w:r>
    </w:p>
    <w:p>
      <w:r>
        <w:t>WORLD CENTURY 出版图书：https://www.jiaokey.com/tag/WORLD CENTURY.html</w:t>
      </w:r>
    </w:p>
    <w:p>
      <w:r>
        <w:t>关键词搜索：https://www.jiaokey.com/tag/INTRODUCTION TO DIAGNOSIS IN TRADITIONAL CHINESE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