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重商主義植民地体制論·II 旧植民地体制の諸矛盾</w:t>
      </w:r>
    </w:p>
    <w:p>
      <w:r>
        <w:rPr>
          <w:rFonts w:ascii="宋体" w:hAnsi="宋体" w:eastAsia="宋体"/>
          <w:sz w:val="24"/>
        </w:rPr>
        <w:t>宇治田富造著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重商主義植民地体制論·II 旧植民地体制の諸矛盾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宇治田富造著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本书出售、求购地址：https://www.jiaokey.com/book/detail/40949245.html</w:t>
      </w:r>
    </w:p>
    <w:p>
      <w:r>
        <w:t>更多相关图书推荐：https://www.jiaokey.com</w:t>
      </w:r>
    </w:p>
    <w:p>
      <w:r>
        <w:t>宇治田富造著 其他作品：https://www.jiaokey.com/tag/宇治田富造著.html</w:t>
      </w:r>
    </w:p>
    <w:p>
      <w:r>
        <w:t>青木書店 出版图书：https://www.jiaokey.com/tag/青木書店.html</w:t>
      </w:r>
    </w:p>
    <w:p>
      <w:r>
        <w:t>关键词搜索：https://www.jiaokey.com/tag/重商主義植民地体制論·II 旧植民地体制の諸矛盾.html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