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 Lavoro a Termine tra modello europeo e regole nazionali</w:t>
      </w:r>
    </w:p>
    <w:p>
      <w:r>
        <w:rPr>
          <w:rFonts w:ascii="宋体" w:hAnsi="宋体" w:eastAsia="宋体"/>
          <w:sz w:val="24"/>
        </w:rPr>
        <w:t xml:space="preserve"> Maria Vittoria Ballestrero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 Lavoro a Termine tra modello europeo e regole nazionali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Maria Vittoria Ballestrero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Textus Edizioni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本书出售、求购地址：https://www.jiaokey.com/book/detail/40968398.html</w:t>
      </w:r>
    </w:p>
    <w:p>
      <w:r>
        <w:t>更多相关图书推荐：https://www.jiaokey.com</w:t>
      </w:r>
    </w:p>
    <w:p>
      <w:r>
        <w:t xml:space="preserve"> Maria Vittoria Ballestrero 其他作品：https://www.jiaokey.com/tag/ Maria Vittoria Ballestrero.html</w:t>
      </w:r>
    </w:p>
    <w:p>
      <w:r>
        <w:t>Textus Edizioni 出版图书：https://www.jiaokey.com/tag/Textus Edizioni.html</w:t>
      </w:r>
    </w:p>
    <w:p>
      <w:r>
        <w:t>关键词搜索：https://www.jiaokey.com/tag/Il Lavoro a Termine tra modello europeo e regole nazionali.html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