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模糊限制语的语用功能及其话语生成和理解的认知语用学研究</w:t>
      </w:r>
    </w:p>
    <w:p>
      <w:r>
        <w:rPr>
          <w:rFonts w:ascii="宋体" w:hAnsi="宋体" w:eastAsia="宋体"/>
          <w:sz w:val="24"/>
        </w:rPr>
        <w:t>郑志进著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模糊限制语的语用功能及其话语生成和理解的认知语用学研究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本书出售、求购地址：https://www.jiaokey.com/book/detail/40995202.html</w:t>
      </w:r>
    </w:p>
    <w:p>
      <w:r>
        <w:t>更多相关图书推荐：https://www.jiaokey.com</w:t>
      </w:r>
    </w:p>
    <w:p>
      <w:r>
        <w:t>郑志进著 其他作品：https://www.jiaokey.com/tag/郑志进著.html</w:t>
      </w:r>
    </w:p>
    <w:p>
      <w:r>
        <w:t>苏州大学出版社 出版图书：https://www.jiaokey.com/tag/苏州大学出版社.html</w:t>
      </w:r>
    </w:p>
    <w:p>
      <w:r>
        <w:t>关键词搜索：https://www.jiaokey.com/tag/模糊限制语的语用功能及其话语生成和理解的认知语用学研究.html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