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of language endangerment</w:t>
      </w:r>
    </w:p>
    <w:p>
      <w:r>
        <w:rPr>
          <w:rFonts w:ascii="宋体" w:hAnsi="宋体" w:eastAsia="宋体"/>
          <w:sz w:val="24"/>
        </w:rPr>
        <w:t>徐世璇; 郭天德; 廖乔婧; International Union of Anthropological and Ethnological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of language endangerment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徐世璇; 郭天德; 廖乔婧; International Union of Anthropological and Ethnological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本书出售、求购地址：https://www.jiaokey.com/book/detail/40997599.html</w:t>
      </w:r>
    </w:p>
    <w:p>
      <w:r>
        <w:t>更多相关图书推荐：https://www.jiaokey.com</w:t>
      </w:r>
    </w:p>
    <w:p>
      <w:r>
        <w:t>徐世璇; 郭天德; 廖乔婧; International Union of Anthropological and Ethnological Sciences 其他作品：https://www.jiaokey.com/tag/徐世璇; 郭天德; 廖乔婧; International Union of Anthropological and Ethnological Sciences.html</w:t>
      </w:r>
    </w:p>
    <w:p>
      <w:r>
        <w:t>知识产权出版社 出版图书：https://www.jiaokey.com/tag/知识产权出版社.html</w:t>
      </w:r>
    </w:p>
    <w:p>
      <w:r>
        <w:t>关键词搜索：https://www.jiaokey.com/tag/Issues of language endangerment.html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